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#10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R1-2100926</w:t>
      </w:r>
    </w:p>
    <w:p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e-Meeting, January 25th</w:t>
      </w:r>
      <w:r>
        <w:rPr>
          <w:rFonts w:hint="default" w:ascii="Arial" w:hAnsi="Arial" w:cs="Arial"/>
          <w:b/>
          <w:bCs/>
          <w:sz w:val="22"/>
          <w:szCs w:val="22"/>
          <w:lang w:eastAsia="ja-JP"/>
        </w:rPr>
        <w:t xml:space="preserve"> –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 xml:space="preserve"> February 5th, 2021</w:t>
      </w:r>
    </w:p>
    <w:p>
      <w:pPr>
        <w:tabs>
          <w:tab w:val="left" w:pos="1985"/>
        </w:tabs>
        <w:spacing w:before="240"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hint="eastAsia" w:ascii="Arial" w:hAnsi="Arial"/>
          <w:b/>
          <w:sz w:val="22"/>
          <w:szCs w:val="22"/>
          <w:lang w:val="en-US" w:eastAsia="zh-CN"/>
        </w:rPr>
        <w:t>Discussi</w:t>
      </w:r>
      <w:r>
        <w:rPr>
          <w:rFonts w:hint="eastAsia" w:ascii="Arial" w:hAnsi="Arial"/>
          <w:b/>
          <w:sz w:val="22"/>
          <w:szCs w:val="22"/>
        </w:rPr>
        <w:t>on remaining issues for sidelink evaluation methodology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ZTE,</w:t>
      </w:r>
      <w:r>
        <w:rPr>
          <w:rFonts w:hint="eastAsia" w:ascii="Arial" w:hAnsi="Arial"/>
          <w:b/>
          <w:sz w:val="22"/>
          <w:szCs w:val="22"/>
        </w:rPr>
        <w:t xml:space="preserve"> Sanechips</w:t>
      </w:r>
    </w:p>
    <w:p>
      <w:pPr>
        <w:tabs>
          <w:tab w:val="left" w:pos="1985"/>
        </w:tabs>
        <w:spacing w:before="120" w:after="120" w:line="240" w:lineRule="auto"/>
        <w:rPr>
          <w:rFonts w:hint="eastAsia" w:eastAsia="宋体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8.11.</w:t>
      </w:r>
      <w:r>
        <w:rPr>
          <w:rFonts w:hint="eastAsia" w:ascii="Arial" w:hAnsi="Arial"/>
          <w:b/>
          <w:sz w:val="22"/>
          <w:szCs w:val="22"/>
          <w:lang w:val="en-US" w:eastAsia="zh-CN"/>
        </w:rPr>
        <w:t>2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rFonts w:hint="eastAsia"/>
          <w:sz w:val="20"/>
        </w:rPr>
      </w:pPr>
      <w:r>
        <w:rPr>
          <w:rFonts w:hint="eastAsia"/>
          <w:sz w:val="20"/>
        </w:rPr>
        <w:t>In RAN 1 #10</w:t>
      </w:r>
      <w:r>
        <w:rPr>
          <w:rFonts w:hint="eastAsia"/>
          <w:sz w:val="20"/>
          <w:lang w:val="en-US" w:eastAsia="zh-CN"/>
        </w:rPr>
        <w:t>3</w:t>
      </w:r>
      <w:r>
        <w:rPr>
          <w:rFonts w:hint="eastAsia"/>
          <w:sz w:val="20"/>
        </w:rPr>
        <w:t xml:space="preserve">-e meeting, </w:t>
      </w:r>
      <w:r>
        <w:rPr>
          <w:sz w:val="20"/>
        </w:rPr>
        <w:t xml:space="preserve">the following </w:t>
      </w:r>
      <w:r>
        <w:rPr>
          <w:rFonts w:hint="eastAsia"/>
          <w:sz w:val="20"/>
        </w:rPr>
        <w:t>conclusion</w:t>
      </w:r>
      <w:r>
        <w:rPr>
          <w:sz w:val="20"/>
        </w:rPr>
        <w:t>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on </w:t>
      </w:r>
      <w:r>
        <w:rPr>
          <w:rFonts w:hint="eastAsia"/>
          <w:sz w:val="20"/>
        </w:rPr>
        <w:t xml:space="preserve">sidelink evaluation </w:t>
      </w:r>
      <w:r>
        <w:rPr>
          <w:rFonts w:hint="eastAsia"/>
          <w:sz w:val="20"/>
          <w:szCs w:val="22"/>
        </w:rPr>
        <w:t>for power saving</w:t>
      </w:r>
      <w:r>
        <w:rPr>
          <w:rFonts w:hint="eastAsia"/>
          <w:sz w:val="20"/>
          <w:szCs w:val="22"/>
          <w:lang w:val="en-US" w:eastAsia="zh-CN"/>
        </w:rPr>
        <w:t xml:space="preserve"> </w:t>
      </w:r>
      <w:r>
        <w:rPr>
          <w:rFonts w:hint="eastAsia"/>
          <w:sz w:val="20"/>
        </w:rPr>
        <w:t>were reached.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rPr>
                <w:rFonts w:ascii="Calibri" w:hAnsi="Calibri"/>
                <w:sz w:val="20"/>
                <w:szCs w:val="20"/>
                <w:highlight w:val="green"/>
                <w:lang w:eastAsia="ko-KR"/>
              </w:rPr>
            </w:pPr>
            <w:r>
              <w:rPr>
                <w:sz w:val="20"/>
                <w:szCs w:val="20"/>
                <w:highlight w:val="green"/>
                <w:lang w:eastAsia="ko-KR"/>
              </w:rPr>
              <w:t>Agreements:</w:t>
            </w:r>
          </w:p>
          <w:p>
            <w:pPr>
              <w:widowControl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Confirm the following agreement with </w:t>
            </w:r>
            <w:r>
              <w:rPr>
                <w:color w:val="FF0000"/>
                <w:sz w:val="20"/>
                <w:szCs w:val="20"/>
                <w:lang w:eastAsia="ko-KR"/>
              </w:rPr>
              <w:t>red</w:t>
            </w:r>
            <w:r>
              <w:rPr>
                <w:sz w:val="20"/>
                <w:szCs w:val="20"/>
                <w:lang w:eastAsia="ko-KR"/>
              </w:rPr>
              <w:t xml:space="preserve"> changes:</w:t>
            </w:r>
          </w:p>
          <w:p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(</w:t>
            </w:r>
            <w:r>
              <w:rPr>
                <w:sz w:val="20"/>
                <w:szCs w:val="20"/>
                <w:highlight w:val="darkYellow"/>
                <w:lang w:eastAsia="ko-KR"/>
              </w:rPr>
              <w:t>Working assumption</w:t>
            </w:r>
            <w:r>
              <w:rPr>
                <w:sz w:val="20"/>
                <w:szCs w:val="20"/>
                <w:lang w:eastAsia="ko-KR"/>
              </w:rPr>
              <w:t>) Scaling of SL BWP size adaptation in RX perspective</w:t>
            </w:r>
          </w:p>
          <w:p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trike/>
                <w:color w:val="FF0000"/>
                <w:sz w:val="20"/>
                <w:szCs w:val="20"/>
                <w:lang w:eastAsia="ko-KR"/>
              </w:rPr>
              <w:t>X MHz is</w:t>
            </w:r>
            <w:r>
              <w:rPr>
                <w:color w:val="FF0000"/>
                <w:sz w:val="20"/>
                <w:szCs w:val="20"/>
                <w:lang w:eastAsia="ko-KR"/>
              </w:rPr>
              <w:t xml:space="preserve"> by </w:t>
            </w:r>
            <w:r>
              <w:rPr>
                <w:sz w:val="20"/>
                <w:szCs w:val="20"/>
                <w:lang w:eastAsia="ko-KR"/>
              </w:rPr>
              <w:t>(0.4 +0.6*(X-20)/80)</w:t>
            </w:r>
            <w:r>
              <w:rPr>
                <w:color w:val="FF0000"/>
                <w:sz w:val="20"/>
                <w:szCs w:val="20"/>
                <w:u w:val="single"/>
                <w:lang w:eastAsia="ko-KR"/>
              </w:rPr>
              <w:t xml:space="preserve">, where X is in MHz 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*100 MHz</w:t>
            </w:r>
          </w:p>
          <w:p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(</w:t>
            </w:r>
            <w:r>
              <w:rPr>
                <w:sz w:val="20"/>
                <w:szCs w:val="20"/>
                <w:highlight w:val="darkYellow"/>
                <w:lang w:eastAsia="ko-KR"/>
              </w:rPr>
              <w:t>Working assumption</w:t>
            </w:r>
            <w:r>
              <w:rPr>
                <w:sz w:val="20"/>
                <w:szCs w:val="20"/>
                <w:lang w:eastAsia="ko-KR"/>
              </w:rPr>
              <w:t>) For “PSCCH/PSSCH RX”,</w:t>
            </w:r>
          </w:p>
          <w:p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In non-PSFCH-slot (i.e., the number of PSCCH/PSSCH symbols is 13), </w:t>
            </w:r>
          </w:p>
          <w:p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the power consumption level is the same as that of “PDCCH+PDSCH”</w:t>
            </w:r>
          </w:p>
          <w:p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(</w:t>
            </w:r>
            <w:r>
              <w:rPr>
                <w:sz w:val="20"/>
                <w:szCs w:val="20"/>
                <w:highlight w:val="darkYellow"/>
                <w:lang w:eastAsia="ko-KR"/>
              </w:rPr>
              <w:t>Working assumption</w:t>
            </w:r>
            <w:r>
              <w:rPr>
                <w:sz w:val="20"/>
                <w:szCs w:val="20"/>
                <w:lang w:eastAsia="ko-KR"/>
              </w:rPr>
              <w:t xml:space="preserve">) For power consumption level of “PSFCH RX”, </w:t>
            </w:r>
          </w:p>
          <w:p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the power consumption level is power consumption level of “PDCCH-only” for cross-slot scheduling</w:t>
            </w:r>
          </w:p>
          <w:p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spacing w:line="240" w:lineRule="exact"/>
              <w:rPr>
                <w:i/>
                <w:iCs/>
                <w:sz w:val="20"/>
                <w:szCs w:val="20"/>
                <w:lang w:eastAsia="ko-KR"/>
              </w:rPr>
            </w:pPr>
            <w:r>
              <w:rPr>
                <w:color w:val="FF0000"/>
                <w:sz w:val="20"/>
                <w:szCs w:val="20"/>
                <w:lang w:eastAsia="ko-KR"/>
              </w:rPr>
              <w:t>Its minimum value is 50</w:t>
            </w:r>
          </w:p>
          <w:p>
            <w:pPr>
              <w:widowControl w:val="0"/>
              <w:rPr>
                <w:sz w:val="20"/>
                <w:szCs w:val="20"/>
                <w:highlight w:val="green"/>
                <w:lang w:eastAsia="ko-KR"/>
              </w:rPr>
            </w:pPr>
            <w:r>
              <w:rPr>
                <w:sz w:val="20"/>
                <w:szCs w:val="20"/>
                <w:highlight w:val="green"/>
                <w:lang w:eastAsia="ko-KR"/>
              </w:rPr>
              <w:t>Agreements:</w:t>
            </w:r>
          </w:p>
          <w:p>
            <w:pPr>
              <w:widowControl w:val="0"/>
              <w:rPr>
                <w:b/>
                <w:bCs/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Remove the square brackets in the following agreements with </w:t>
            </w:r>
            <w:r>
              <w:rPr>
                <w:color w:val="FF0000"/>
                <w:sz w:val="20"/>
                <w:szCs w:val="20"/>
                <w:lang w:eastAsia="ko-KR"/>
              </w:rPr>
              <w:t>red</w:t>
            </w:r>
            <w:r>
              <w:rPr>
                <w:sz w:val="20"/>
                <w:szCs w:val="20"/>
                <w:lang w:eastAsia="ko-KR"/>
              </w:rPr>
              <w:t xml:space="preserve">-colored clarification. 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highlight w:val="green"/>
                <w:lang w:eastAsia="ko-KR"/>
              </w:rPr>
              <w:t>Agreements made in RAN1#102-e meeting</w:t>
            </w:r>
            <w:r>
              <w:rPr>
                <w:sz w:val="20"/>
                <w:szCs w:val="20"/>
                <w:lang w:eastAsia="ko-KR"/>
              </w:rPr>
              <w:t>:</w:t>
            </w:r>
          </w:p>
          <w:p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For power consumption level of “1st SCI/2nd SCI RX”, </w:t>
            </w:r>
          </w:p>
          <w:p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the power consumption level is 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[</w:t>
            </w:r>
            <w:r>
              <w:rPr>
                <w:sz w:val="20"/>
                <w:szCs w:val="20"/>
                <w:lang w:eastAsia="ko-KR"/>
              </w:rPr>
              <w:t>0.7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]</w:t>
            </w:r>
            <w:r>
              <w:rPr>
                <w:sz w:val="20"/>
                <w:szCs w:val="20"/>
                <w:lang w:eastAsia="ko-KR"/>
              </w:rPr>
              <w:t>* power consumption level of “PSCCH/PSSCH RX”</w:t>
            </w:r>
          </w:p>
          <w:p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For power consumption level of “PSFCH TX”, </w:t>
            </w:r>
          </w:p>
          <w:p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the power consumption level is 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[</w:t>
            </w:r>
            <w:r>
              <w:rPr>
                <w:sz w:val="20"/>
                <w:szCs w:val="20"/>
                <w:lang w:eastAsia="ko-KR"/>
              </w:rPr>
              <w:t>0.3</w:t>
            </w:r>
            <w:r>
              <w:rPr>
                <w:color w:val="FF0000"/>
                <w:sz w:val="20"/>
                <w:szCs w:val="20"/>
                <w:u w:val="single"/>
                <w:lang w:eastAsia="ko-KR"/>
              </w:rPr>
              <w:t>5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]</w:t>
            </w:r>
            <w:r>
              <w:rPr>
                <w:sz w:val="20"/>
                <w:szCs w:val="20"/>
                <w:lang w:eastAsia="ko-KR"/>
              </w:rPr>
              <w:t>*power consumption level of “UL” for long PUCCH or PUSCH</w:t>
            </w:r>
          </w:p>
          <w:p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line="240" w:lineRule="exac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For power consumption level of “S-SSB RX”, </w:t>
            </w:r>
          </w:p>
          <w:p>
            <w:pPr>
              <w:widowControl w:val="0"/>
              <w:numPr>
                <w:ilvl w:val="2"/>
                <w:numId w:val="7"/>
              </w:numPr>
              <w:autoSpaceDE w:val="0"/>
              <w:autoSpaceDN w:val="0"/>
              <w:spacing w:line="240" w:lineRule="exact"/>
              <w:rPr>
                <w:rFonts w:hint="eastAsia"/>
                <w:sz w:val="20"/>
                <w:vertAlign w:val="baseline"/>
              </w:rPr>
            </w:pPr>
            <w:r>
              <w:rPr>
                <w:sz w:val="20"/>
                <w:szCs w:val="20"/>
                <w:lang w:eastAsia="ko-KR"/>
              </w:rPr>
              <w:t xml:space="preserve">the power consumption level is 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[</w:t>
            </w:r>
            <w:r>
              <w:rPr>
                <w:sz w:val="20"/>
                <w:szCs w:val="20"/>
                <w:lang w:eastAsia="ko-KR"/>
              </w:rPr>
              <w:t>1.5</w:t>
            </w:r>
            <w:r>
              <w:rPr>
                <w:strike/>
                <w:color w:val="FF0000"/>
                <w:sz w:val="20"/>
                <w:szCs w:val="20"/>
                <w:lang w:eastAsia="ko-KR"/>
              </w:rPr>
              <w:t>]</w:t>
            </w:r>
            <w:r>
              <w:rPr>
                <w:sz w:val="20"/>
                <w:szCs w:val="20"/>
                <w:lang w:eastAsia="ko-KR"/>
              </w:rPr>
              <w:t>*power consumption level of “Uu SSB-processing”</w:t>
            </w:r>
          </w:p>
        </w:tc>
      </w:tr>
    </w:tbl>
    <w:p>
      <w:pPr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In this contribution, we will discuss remaining issues for sidelink evaluation methodology for power saving.</w:t>
      </w:r>
    </w:p>
    <w:p>
      <w:pPr>
        <w:pStyle w:val="2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before="120" w:after="120"/>
        <w:ind w:left="0"/>
        <w:rPr>
          <w:rFonts w:eastAsia="宋体"/>
          <w:szCs w:val="22"/>
        </w:rPr>
      </w:pPr>
      <w:r>
        <w:rPr>
          <w:rFonts w:hint="eastAsia"/>
          <w:szCs w:val="22"/>
        </w:rPr>
        <w:t>Power consumption</w:t>
      </w:r>
    </w:p>
    <w:p>
      <w:pPr>
        <w:pStyle w:val="3"/>
        <w:spacing w:before="120" w:after="120" w:line="240" w:lineRule="auto"/>
        <w:ind w:left="991" w:right="210" w:hanging="991" w:hangingChars="354"/>
        <w:textAlignment w:val="center"/>
        <w:rPr>
          <w:szCs w:val="22"/>
        </w:rPr>
      </w:pPr>
      <w:r>
        <w:rPr>
          <w:rFonts w:hint="eastAsia" w:eastAsia="宋体"/>
          <w:szCs w:val="22"/>
        </w:rPr>
        <w:t>P</w:t>
      </w:r>
      <w:r>
        <w:rPr>
          <w:rFonts w:hint="eastAsia"/>
          <w:szCs w:val="22"/>
        </w:rPr>
        <w:t xml:space="preserve">ower consumption of target </w:t>
      </w:r>
      <w:r>
        <w:rPr>
          <w:rFonts w:hint="eastAsia" w:eastAsia="宋体"/>
          <w:szCs w:val="22"/>
        </w:rPr>
        <w:t>p</w:t>
      </w:r>
      <w:r>
        <w:rPr>
          <w:rFonts w:hint="eastAsia"/>
          <w:szCs w:val="22"/>
        </w:rPr>
        <w:t xml:space="preserve">ower </w:t>
      </w:r>
      <w:r>
        <w:rPr>
          <w:rFonts w:hint="eastAsia" w:eastAsia="宋体"/>
          <w:szCs w:val="22"/>
        </w:rPr>
        <w:t>s</w:t>
      </w:r>
      <w:r>
        <w:rPr>
          <w:rFonts w:hint="eastAsia"/>
          <w:szCs w:val="22"/>
        </w:rPr>
        <w:t>tate</w:t>
      </w:r>
      <w:r>
        <w:rPr>
          <w:rFonts w:hint="eastAsia" w:eastAsia="宋体"/>
          <w:szCs w:val="22"/>
        </w:rPr>
        <w:t>s</w:t>
      </w:r>
      <w:r>
        <w:rPr>
          <w:rFonts w:hint="eastAsia"/>
          <w:szCs w:val="22"/>
        </w:rPr>
        <w:t xml:space="preserve"> in PSFCH slot</w:t>
      </w:r>
    </w:p>
    <w:p>
      <w:pPr>
        <w:spacing w:before="120" w:after="120" w:line="260" w:lineRule="auto"/>
        <w:rPr>
          <w:sz w:val="20"/>
        </w:rPr>
      </w:pPr>
      <w:r>
        <w:rPr>
          <w:rFonts w:hint="eastAsia"/>
          <w:sz w:val="20"/>
        </w:rPr>
        <w:t xml:space="preserve">For a sidelink energy-saving scheme, it is usually a trade-off between PRR loss and power saving. For example, if the PRR performance of a scheme is not significantly reduced, and the power saving can exceed a certain proportion, then the energy saving scheme is a feasible scheme. </w:t>
      </w:r>
      <w:r>
        <w:rPr>
          <w:sz w:val="20"/>
        </w:rPr>
        <w:t>If the power consumption simulation assumptions of different companies are different, the power saving proportion of can be different</w:t>
      </w:r>
      <w:r>
        <w:rPr>
          <w:rFonts w:hint="eastAsia"/>
          <w:sz w:val="20"/>
        </w:rPr>
        <w:t xml:space="preserve"> for </w:t>
      </w:r>
      <w:r>
        <w:rPr>
          <w:sz w:val="20"/>
        </w:rPr>
        <w:t xml:space="preserve">a solution dedicated to </w:t>
      </w:r>
      <w:r>
        <w:rPr>
          <w:rFonts w:hint="eastAsia"/>
          <w:sz w:val="20"/>
        </w:rPr>
        <w:t xml:space="preserve">sidelink </w:t>
      </w:r>
      <w:r>
        <w:rPr>
          <w:sz w:val="20"/>
        </w:rPr>
        <w:t xml:space="preserve">power saving. Then different companies have different conclusions on the feasibility of </w:t>
      </w:r>
      <w:r>
        <w:rPr>
          <w:rFonts w:hint="eastAsia"/>
          <w:sz w:val="20"/>
        </w:rPr>
        <w:t xml:space="preserve">the </w:t>
      </w:r>
      <w:r>
        <w:rPr>
          <w:sz w:val="20"/>
        </w:rPr>
        <w:t>energy-saving scheme</w:t>
      </w:r>
      <w:r>
        <w:rPr>
          <w:rFonts w:hint="eastAsia"/>
          <w:sz w:val="20"/>
        </w:rPr>
        <w:t xml:space="preserve">. </w:t>
      </w:r>
      <w:r>
        <w:rPr>
          <w:sz w:val="20"/>
        </w:rPr>
        <w:t xml:space="preserve">As a result, it is difficult to decide which company's </w:t>
      </w:r>
      <w:r>
        <w:rPr>
          <w:rFonts w:hint="eastAsia"/>
          <w:sz w:val="20"/>
        </w:rPr>
        <w:t xml:space="preserve">simulation </w:t>
      </w:r>
      <w:r>
        <w:rPr>
          <w:sz w:val="20"/>
        </w:rPr>
        <w:t>results can be accepted.</w:t>
      </w:r>
      <w:r>
        <w:rPr>
          <w:rFonts w:hint="eastAsia"/>
          <w:sz w:val="20"/>
        </w:rPr>
        <w:t xml:space="preserve"> In order to prove which company's results are acceptable, one company may spend a lot of time arguing about the rationality of other companies' simulation assumptions, which reduces the efficiency of RAN1 meeting. </w:t>
      </w:r>
      <w:r>
        <w:rPr>
          <w:sz w:val="20"/>
        </w:rPr>
        <w:t xml:space="preserve">In order to avoid the above situation, it is suggested to define the power consumption level of each power state in </w:t>
      </w:r>
      <w:r>
        <w:rPr>
          <w:rFonts w:hint="eastAsia"/>
          <w:sz w:val="20"/>
        </w:rPr>
        <w:t xml:space="preserve">PSFCH </w:t>
      </w:r>
      <w:r>
        <w:rPr>
          <w:sz w:val="20"/>
        </w:rPr>
        <w:t xml:space="preserve">slot as a unified simulation </w:t>
      </w:r>
      <w:r>
        <w:rPr>
          <w:rFonts w:hint="eastAsia"/>
          <w:sz w:val="20"/>
        </w:rPr>
        <w:t xml:space="preserve">assumption </w:t>
      </w:r>
      <w:r>
        <w:rPr>
          <w:sz w:val="20"/>
        </w:rPr>
        <w:t>for all companies.</w:t>
      </w:r>
    </w:p>
    <w:p>
      <w:pPr>
        <w:spacing w:before="120" w:after="120" w:line="260" w:lineRule="auto"/>
        <w:rPr>
          <w:sz w:val="20"/>
        </w:rPr>
      </w:pPr>
      <w:r>
        <w:rPr>
          <w:sz w:val="20"/>
        </w:rPr>
        <w:t xml:space="preserve">Regarding the power consumption of different power states in </w:t>
      </w:r>
      <w:r>
        <w:rPr>
          <w:rFonts w:hint="eastAsia"/>
          <w:sz w:val="20"/>
        </w:rPr>
        <w:t xml:space="preserve">PSFCH </w:t>
      </w:r>
      <w:r>
        <w:rPr>
          <w:sz w:val="20"/>
        </w:rPr>
        <w:t xml:space="preserve">slot, </w:t>
      </w:r>
      <w:r>
        <w:rPr>
          <w:rFonts w:hint="eastAsia"/>
          <w:sz w:val="20"/>
        </w:rPr>
        <w:t xml:space="preserve">it is </w:t>
      </w:r>
      <w:r>
        <w:rPr>
          <w:sz w:val="20"/>
        </w:rPr>
        <w:t>suggest</w:t>
      </w:r>
      <w:r>
        <w:rPr>
          <w:rFonts w:hint="eastAsia"/>
          <w:sz w:val="20"/>
        </w:rPr>
        <w:t>ed</w:t>
      </w:r>
      <w:r>
        <w:rPr>
          <w:sz w:val="20"/>
        </w:rPr>
        <w:t xml:space="preserve"> that the power consumption in table </w:t>
      </w:r>
      <w:r>
        <w:rPr>
          <w:rFonts w:hint="eastAsia"/>
          <w:sz w:val="20"/>
          <w:lang w:eastAsia="zh-CN"/>
        </w:rPr>
        <w:t>2-1</w:t>
      </w:r>
      <w:r>
        <w:rPr>
          <w:sz w:val="20"/>
        </w:rPr>
        <w:t xml:space="preserve"> be adopted.</w:t>
      </w:r>
      <w:r>
        <w:rPr>
          <w:rFonts w:hint="eastAsia"/>
          <w:sz w:val="20"/>
        </w:rPr>
        <w:t xml:space="preserve"> </w:t>
      </w:r>
      <w:bookmarkStart w:id="6" w:name="_GoBack"/>
      <w:bookmarkEnd w:id="6"/>
    </w:p>
    <w:p>
      <w:pPr>
        <w:pStyle w:val="43"/>
        <w:spacing w:before="120" w:after="120"/>
        <w:rPr>
          <w:rFonts w:hint="eastAsia" w:eastAsia="宋体"/>
          <w:sz w:val="20"/>
          <w:lang w:eastAsia="zh-CN"/>
        </w:rPr>
      </w:pPr>
      <w:r>
        <w:rPr>
          <w:sz w:val="20"/>
        </w:rPr>
        <w:t xml:space="preserve">Table </w:t>
      </w:r>
      <w:r>
        <w:rPr>
          <w:rFonts w:hint="eastAsia"/>
          <w:sz w:val="20"/>
          <w:lang w:eastAsia="zh-CN"/>
        </w:rPr>
        <w:t>2-1</w:t>
      </w:r>
      <w:r>
        <w:rPr>
          <w:sz w:val="20"/>
        </w:rPr>
        <w:t xml:space="preserve">: UE power consumption </w:t>
      </w:r>
      <w:r>
        <w:rPr>
          <w:rFonts w:hint="eastAsia" w:ascii="Times New Roman" w:hAnsi="Times New Roman"/>
          <w:sz w:val="20"/>
        </w:rPr>
        <w:t>in PSFCH slot</w:t>
      </w:r>
    </w:p>
    <w:tbl>
      <w:tblPr>
        <w:tblStyle w:val="18"/>
        <w:tblW w:w="9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4"/>
        <w:gridCol w:w="5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04" w:type="dxa"/>
            <w:shd w:val="clear" w:color="auto" w:fill="EEECE1" w:themeFill="background2"/>
          </w:tcPr>
          <w:p>
            <w:pPr>
              <w:pStyle w:val="44"/>
              <w:widowControl w:val="0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Power State</w:t>
            </w:r>
          </w:p>
        </w:tc>
        <w:tc>
          <w:tcPr>
            <w:tcW w:w="5929" w:type="dxa"/>
            <w:shd w:val="clear" w:color="auto" w:fill="EEECE1" w:themeFill="background2"/>
          </w:tcPr>
          <w:p>
            <w:pPr>
              <w:pStyle w:val="44"/>
              <w:widowControl w:val="0"/>
              <w:spacing w:before="120" w:after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Power</w:t>
            </w:r>
            <w:r>
              <w:rPr>
                <w:rFonts w:hint="eastAsia"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consumption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PSCCH/PSSCH RX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color w:val="auto"/>
                <w:sz w:val="20"/>
                <w:u w:val="none"/>
              </w:rPr>
              <w:t>0.8*</w:t>
            </w:r>
            <w:r>
              <w:rPr>
                <w:sz w:val="20"/>
              </w:rPr>
              <w:t>power consumption level of “PDCCH+PDSCH”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PSCCH/PSSCH TX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color w:val="auto"/>
                <w:sz w:val="20"/>
                <w:u w:val="none"/>
              </w:rPr>
              <w:t>0.8*</w:t>
            </w:r>
            <w:r>
              <w:rPr>
                <w:sz w:val="20"/>
              </w:rPr>
              <w:t>power consumption level of “UL” for long PUCCH or 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 xml:space="preserve">“PSCCH/PSSCH RX” and “PSFCH RX” 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rStyle w:val="49"/>
                <w:rFonts w:ascii="Calibri" w:hAnsi="Calibri" w:cs="Calibri"/>
                <w:i/>
                <w:color w:val="000000"/>
                <w:sz w:val="20"/>
                <w:highlight w:val="green"/>
                <w:shd w:val="clear" w:color="auto" w:fill="C0C0C0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“PSCCH/PSSCH RX” in PSFCH-slot and power consumption level of “PSFCH RX”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“PSCCH/PSSCH TX” and “PSFCH TX” 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  <w:highlight w:val="green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“PSCCH/PSSCH TX” in PSFCH-slot and power consumption level of “PSFCH TX”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1st SCI/2nd SCI RX” and “PSFCH TX”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“1st SCI/2nd SCI RX” and power consumption level of “PSFCH TX”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“1st SCI/2nd SCI RX” and “PSFCH RX”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“1st SCI/2nd SCI RX” and power consumption level of “PSFCH RX”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>“PSCCH/PSSCH RX”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and “PSFCH TX”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“PSCCH/PSSCH RX” in PSFCH-slot and power consumption level of “PSFCH TX”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3604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sz w:val="20"/>
              </w:rPr>
              <w:t xml:space="preserve">“PSCCH/PSSCH TX” and “PSFCH RX” </w:t>
            </w:r>
          </w:p>
        </w:tc>
        <w:tc>
          <w:tcPr>
            <w:tcW w:w="5929" w:type="dxa"/>
          </w:tcPr>
          <w:p>
            <w:pPr>
              <w:widowControl w:val="0"/>
              <w:spacing w:before="120" w:after="120" w:line="36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>S</w:t>
            </w:r>
            <w:r>
              <w:rPr>
                <w:sz w:val="20"/>
              </w:rPr>
              <w:t>um of power consumption level of “PSCCH/PSSCH TX” in PSFCH-slot and power consumption level of “PSFCH RX”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9533" w:type="dxa"/>
            <w:gridSpan w:val="2"/>
          </w:tcPr>
          <w:p>
            <w:pPr>
              <w:pStyle w:val="4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360" w:lineRule="auto"/>
              <w:ind w:left="0" w:hanging="800" w:hangingChars="400"/>
              <w:jc w:val="left"/>
              <w:textAlignment w:val="auto"/>
              <w:rPr>
                <w:sz w:val="20"/>
              </w:rPr>
            </w:pP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en-US"/>
              </w:rPr>
              <w:t>NOTE :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ko-KR"/>
              </w:rPr>
              <w:t xml:space="preserve">The number of PSCCH/PSSCH symbols in PSFCH-slot is less than that in 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</w:rPr>
              <w:t>non-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ko-KR"/>
              </w:rPr>
              <w:t>PSFCH-slot(i.e., the number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u w:val="none"/>
                <w:lang w:val="en-GB"/>
              </w:rPr>
              <w:t xml:space="preserve"> 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ko-KR"/>
              </w:rPr>
              <w:t>of PSCCH/PSSCH symbols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ko-KR"/>
              </w:rPr>
              <w:t>in PSFCH-slot is 1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</w:rPr>
              <w:t>0</w:t>
            </w:r>
            <w:r>
              <w:rPr>
                <w:rFonts w:ascii="Times New Roman" w:hAnsi="Times New Roman" w:eastAsia="Times New Roman"/>
                <w:color w:val="auto"/>
                <w:kern w:val="0"/>
                <w:sz w:val="20"/>
                <w:u w:val="none"/>
                <w:lang w:val="en-GB" w:eastAsia="ko-KR"/>
              </w:rPr>
              <w:t>)</w:t>
            </w:r>
          </w:p>
        </w:tc>
      </w:tr>
    </w:tbl>
    <w:p>
      <w:pPr>
        <w:pStyle w:val="23"/>
        <w:spacing w:before="240" w:beforeLines="100" w:after="120" w:line="240" w:lineRule="auto"/>
        <w:jc w:val="left"/>
        <w:rPr>
          <w:szCs w:val="22"/>
          <w:lang w:val="en-US" w:eastAsia="zh-CN"/>
        </w:rPr>
      </w:pPr>
      <w:bookmarkStart w:id="0" w:name="_Toc6988"/>
      <w:bookmarkStart w:id="1" w:name="_Toc30624"/>
      <w:r>
        <w:rPr>
          <w:rFonts w:hint="eastAsia"/>
          <w:szCs w:val="22"/>
          <w:lang w:val="en-US" w:eastAsia="zh-CN"/>
        </w:rPr>
        <w:t>UE power consumption in Table 2-1 should be adopted for PSFCH slot.</w:t>
      </w:r>
      <w:bookmarkEnd w:id="0"/>
      <w:bookmarkEnd w:id="1"/>
    </w:p>
    <w:p>
      <w:pPr>
        <w:pStyle w:val="3"/>
        <w:spacing w:before="120" w:after="120" w:line="240" w:lineRule="auto"/>
        <w:ind w:left="991" w:right="210" w:hanging="991" w:hangingChars="354"/>
        <w:textAlignment w:val="center"/>
        <w:rPr>
          <w:szCs w:val="22"/>
        </w:rPr>
      </w:pPr>
      <w:r>
        <w:rPr>
          <w:rFonts w:hint="eastAsia" w:eastAsia="宋体"/>
          <w:szCs w:val="22"/>
        </w:rPr>
        <w:t>P</w:t>
      </w:r>
      <w:r>
        <w:rPr>
          <w:rFonts w:hint="eastAsia"/>
          <w:szCs w:val="22"/>
        </w:rPr>
        <w:t xml:space="preserve">ower consumption of target </w:t>
      </w:r>
      <w:r>
        <w:rPr>
          <w:rFonts w:hint="eastAsia" w:eastAsia="宋体"/>
          <w:szCs w:val="22"/>
        </w:rPr>
        <w:t>p</w:t>
      </w:r>
      <w:r>
        <w:rPr>
          <w:rFonts w:hint="eastAsia"/>
          <w:szCs w:val="22"/>
        </w:rPr>
        <w:t xml:space="preserve">ower </w:t>
      </w:r>
      <w:r>
        <w:rPr>
          <w:rFonts w:hint="eastAsia" w:eastAsia="宋体"/>
          <w:szCs w:val="22"/>
        </w:rPr>
        <w:t>s</w:t>
      </w:r>
      <w:r>
        <w:rPr>
          <w:rFonts w:hint="eastAsia"/>
          <w:szCs w:val="22"/>
        </w:rPr>
        <w:t>tate</w:t>
      </w:r>
      <w:r>
        <w:rPr>
          <w:rFonts w:hint="eastAsia" w:eastAsia="宋体"/>
          <w:szCs w:val="22"/>
        </w:rPr>
        <w:t>s</w:t>
      </w:r>
      <w:r>
        <w:rPr>
          <w:rFonts w:hint="eastAsia"/>
          <w:szCs w:val="22"/>
        </w:rPr>
        <w:t xml:space="preserve"> in PSFCH/</w:t>
      </w:r>
      <w:r>
        <w:rPr>
          <w:rFonts w:hint="eastAsia" w:eastAsia="宋体"/>
          <w:szCs w:val="22"/>
        </w:rPr>
        <w:t>non-</w:t>
      </w:r>
      <w:r>
        <w:rPr>
          <w:rFonts w:hint="eastAsia"/>
          <w:szCs w:val="22"/>
        </w:rPr>
        <w:t>PSFCH slot</w:t>
      </w:r>
    </w:p>
    <w:p>
      <w:pPr>
        <w:spacing w:before="120" w:after="120"/>
        <w:rPr>
          <w:color w:val="auto"/>
          <w:sz w:val="20"/>
          <w:szCs w:val="22"/>
          <w:u w:val="none"/>
        </w:rPr>
      </w:pPr>
      <w:r>
        <w:rPr>
          <w:rFonts w:hint="eastAsia"/>
          <w:sz w:val="20"/>
          <w:szCs w:val="22"/>
        </w:rPr>
        <w:t xml:space="preserve">For power consumption statistics, there is the combination of "GNSS process" and </w:t>
      </w:r>
      <w:r>
        <w:rPr>
          <w:sz w:val="20"/>
          <w:szCs w:val="22"/>
        </w:rPr>
        <w:t>“</w:t>
      </w:r>
      <w:r>
        <w:rPr>
          <w:rFonts w:hint="eastAsia"/>
          <w:sz w:val="20"/>
          <w:szCs w:val="22"/>
        </w:rPr>
        <w:t>one or more other power states</w:t>
      </w:r>
      <w:r>
        <w:rPr>
          <w:sz w:val="20"/>
          <w:szCs w:val="22"/>
        </w:rPr>
        <w:t>”</w:t>
      </w:r>
      <w:r>
        <w:rPr>
          <w:rFonts w:hint="eastAsia"/>
          <w:sz w:val="20"/>
          <w:szCs w:val="22"/>
        </w:rPr>
        <w:t xml:space="preserve"> in a slot. It is necessary to clarify how to define power consumption for this case. </w:t>
      </w:r>
      <w:r>
        <w:rPr>
          <w:rFonts w:hint="eastAsia"/>
          <w:color w:val="auto"/>
          <w:sz w:val="20"/>
          <w:szCs w:val="22"/>
          <w:u w:val="none"/>
        </w:rPr>
        <w:t>Considering that "GNSS processing" and "SL communication" are independent modules, it is suggested that the power consumption level of a combination of "GNSS process" and "one or more other power states" is a sum of power consumption level of "GNSS process" and "one or more other power states" in a slot.</w:t>
      </w:r>
    </w:p>
    <w:p>
      <w:pPr>
        <w:pStyle w:val="23"/>
        <w:spacing w:before="120" w:after="120" w:line="240" w:lineRule="auto"/>
        <w:rPr>
          <w:color w:val="auto"/>
          <w:szCs w:val="22"/>
          <w:highlight w:val="none"/>
          <w:u w:val="none"/>
          <w:lang w:val="en-US" w:eastAsia="zh-CN"/>
        </w:rPr>
      </w:pPr>
      <w:bookmarkStart w:id="2" w:name="_Toc12293"/>
      <w:r>
        <w:rPr>
          <w:rFonts w:hint="eastAsia"/>
          <w:color w:val="auto"/>
          <w:szCs w:val="22"/>
          <w:highlight w:val="none"/>
          <w:u w:val="none"/>
          <w:lang w:val="en-US" w:eastAsia="zh-CN"/>
        </w:rPr>
        <w:t>For the power consumption level of a combination of "GNSS process" and "one or more other power states", the power consumption level is a sum of power consumption level of "GNSS process" and "one or more other power states" in a slot.</w:t>
      </w:r>
      <w:bookmarkEnd w:id="2"/>
    </w:p>
    <w:p>
      <w:pPr>
        <w:tabs>
          <w:tab w:val="left" w:pos="420"/>
        </w:tabs>
        <w:spacing w:before="120" w:after="120" w:line="240" w:lineRule="auto"/>
        <w:rPr>
          <w:sz w:val="20"/>
          <w:szCs w:val="22"/>
        </w:rPr>
      </w:pPr>
    </w:p>
    <w:p>
      <w:pPr>
        <w:pStyle w:val="2"/>
        <w:spacing w:before="120" w:after="120" w:line="240" w:lineRule="auto"/>
        <w:ind w:left="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pacing w:before="120" w:after="120"/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</w:pPr>
      <w:r>
        <w:rPr>
          <w:rFonts w:hint="eastAsia"/>
          <w:sz w:val="20"/>
          <w:szCs w:val="22"/>
        </w:rPr>
        <w:t>This contribution discusses sidelink evaluation methodology for power saving. Based on these discussions, we have the following proposals.</w:t>
      </w:r>
      <w:r>
        <w:rPr>
          <w:bCs/>
          <w:iCs/>
          <w:szCs w:val="22"/>
        </w:rPr>
        <w:fldChar w:fldCharType="begin"/>
      </w:r>
      <w:r>
        <w:rPr>
          <w:szCs w:val="22"/>
        </w:rPr>
        <w:instrText xml:space="preserve">TOC \n  \t "YJ-Proposal,1,sub-proposal,2" \h</w:instrText>
      </w:r>
      <w:r>
        <w:rPr>
          <w:bCs/>
          <w:iCs/>
          <w:szCs w:val="22"/>
        </w:rPr>
        <w:fldChar w:fldCharType="separate"/>
      </w:r>
    </w:p>
    <w:p>
      <w:pPr>
        <w:pStyle w:val="13"/>
        <w:tabs>
          <w:tab w:val="right" w:leader="dot" w:pos="9660"/>
        </w:tabs>
      </w:pPr>
      <w:r>
        <w:fldChar w:fldCharType="begin"/>
      </w:r>
      <w:r>
        <w:instrText xml:space="preserve"> HYPERLINK \l _Toc30624 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szCs w:val="22"/>
          <w:lang w:val="en-US" w:eastAsia="zh-CN"/>
        </w:rPr>
        <w:t xml:space="preserve">Proposal 1: </w:t>
      </w:r>
      <w:r>
        <w:rPr>
          <w:rFonts w:hint="eastAsia"/>
          <w:szCs w:val="22"/>
          <w:lang w:val="en-US" w:eastAsia="zh-CN"/>
        </w:rPr>
        <w:t>UE power consumption in Table 2-1 should be adopted for PSFCH slot.</w:t>
      </w:r>
      <w:r>
        <w:fldChar w:fldCharType="end"/>
      </w:r>
    </w:p>
    <w:p>
      <w:pPr>
        <w:pStyle w:val="13"/>
        <w:tabs>
          <w:tab w:val="right" w:leader="dot" w:pos="9660"/>
        </w:tabs>
      </w:pPr>
      <w:r>
        <w:fldChar w:fldCharType="begin"/>
      </w:r>
      <w:r>
        <w:instrText xml:space="preserve"> HYPERLINK \l _Toc12293 </w:instrText>
      </w:r>
      <w:r>
        <w:fldChar w:fldCharType="separate"/>
      </w:r>
      <w:r>
        <w:rPr>
          <w:rFonts w:hint="default" w:ascii="Times New Roman" w:hAnsi="Times New Roman" w:eastAsia="宋体" w:cs="Times New Roman"/>
          <w:bCs/>
          <w:i/>
          <w:iCs/>
          <w:szCs w:val="22"/>
          <w:lang w:val="en-US" w:eastAsia="zh-CN"/>
        </w:rPr>
        <w:t xml:space="preserve">Proposal 2: </w:t>
      </w:r>
      <w:r>
        <w:rPr>
          <w:rFonts w:hint="eastAsia"/>
          <w:szCs w:val="22"/>
          <w:lang w:val="en-US" w:eastAsia="zh-CN"/>
        </w:rPr>
        <w:t>For the power consumption level of a combination of "GNSS process" and "one or more other power states", the power consumption level is a sum of power consumption level of "GNSS process" and "one or more other power states" in a slot.</w:t>
      </w:r>
      <w:r>
        <w:fldChar w:fldCharType="end"/>
      </w:r>
    </w:p>
    <w:p>
      <w:pPr>
        <w:pStyle w:val="13"/>
        <w:tabs>
          <w:tab w:val="right" w:leader="dot" w:pos="9660"/>
        </w:tabs>
        <w:spacing w:before="120" w:after="120"/>
      </w:pPr>
      <w:r>
        <w:fldChar w:fldCharType="end"/>
      </w:r>
    </w:p>
    <w:p>
      <w:pPr>
        <w:pStyle w:val="2"/>
        <w:spacing w:before="120" w:after="120" w:line="240" w:lineRule="auto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7"/>
        <w:spacing w:before="120" w:after="120" w:line="276" w:lineRule="auto"/>
        <w:ind w:left="363" w:hanging="363"/>
        <w:rPr>
          <w:rFonts w:eastAsiaTheme="minorEastAsia"/>
          <w:szCs w:val="20"/>
        </w:rPr>
      </w:pPr>
      <w:bookmarkStart w:id="3" w:name="_Ref6480"/>
      <w:bookmarkStart w:id="4" w:name="_Ref17466"/>
      <w:bookmarkStart w:id="5" w:name="_Ref18344"/>
      <w:r>
        <w:rPr>
          <w:rFonts w:hint="eastAsia" w:ascii="Times New Roman" w:hAnsi="Times New Roman" w:eastAsia="宋体" w:cs="Times New Roman"/>
        </w:rPr>
        <w:t>Chairman's Notes RAN1 #</w:t>
      </w:r>
      <w:r>
        <w:rPr>
          <w:rFonts w:hint="eastAsia" w:ascii="Times New Roman" w:hAnsi="Times New Roman" w:eastAsia="宋体" w:cs="Times New Roman"/>
          <w:lang w:val="en-US" w:eastAsia="zh-CN"/>
        </w:rPr>
        <w:t>103-e</w:t>
      </w:r>
      <w:r>
        <w:rPr>
          <w:rFonts w:hint="eastAsia" w:ascii="Times New Roman" w:hAnsi="Times New Roman" w:eastAsia="宋体" w:cs="Times New Roman"/>
        </w:rPr>
        <w:t xml:space="preserve">, </w:t>
      </w:r>
      <w:r>
        <w:rPr>
          <w:rFonts w:hint="eastAsia" w:ascii="Times New Roman" w:hAnsi="Times New Roman" w:eastAsia="宋体" w:cs="Times New Roman"/>
          <w:lang w:val="en-US" w:eastAsia="ja-JP"/>
        </w:rPr>
        <w:t>26th October - 13th November</w:t>
      </w:r>
      <w:r>
        <w:rPr>
          <w:rFonts w:hint="eastAsia" w:ascii="Times New Roman" w:hAnsi="Times New Roman" w:eastAsia="宋体" w:cs="Times New Roman"/>
        </w:rPr>
        <w:t>,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ja-JP"/>
        </w:rPr>
        <w:t>2020</w:t>
      </w:r>
    </w:p>
    <w:bookmarkEnd w:id="3"/>
    <w:bookmarkEnd w:id="4"/>
    <w:bookmarkEnd w:id="5"/>
    <w:p>
      <w:pPr>
        <w:pStyle w:val="48"/>
        <w:spacing w:before="120" w:after="120"/>
        <w:rPr>
          <w:sz w:val="20"/>
        </w:rPr>
      </w:pPr>
    </w:p>
    <w:p>
      <w:pPr>
        <w:pStyle w:val="48"/>
        <w:spacing w:before="120" w:after="120"/>
        <w:rPr>
          <w:sz w:val="20"/>
        </w:rPr>
      </w:pPr>
    </w:p>
    <w:p>
      <w:pPr>
        <w:pStyle w:val="48"/>
        <w:spacing w:before="120" w:after="120"/>
        <w:rPr>
          <w:sz w:val="20"/>
        </w:rPr>
      </w:pPr>
    </w:p>
    <w:p>
      <w:pPr>
        <w:pStyle w:val="27"/>
        <w:numPr>
          <w:ilvl w:val="0"/>
          <w:numId w:val="0"/>
        </w:numPr>
        <w:spacing w:before="120" w:after="120" w:line="240" w:lineRule="auto"/>
        <w:rPr>
          <w:szCs w:val="2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5316"/>
    </w:sdtPr>
    <w:sdtContent>
      <w:p>
        <w:pPr>
          <w:pStyle w:val="11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11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44A3D1"/>
    <w:multiLevelType w:val="singleLevel"/>
    <w:tmpl w:val="CE44A3D1"/>
    <w:lvl w:ilvl="0" w:tentative="0">
      <w:start w:val="1"/>
      <w:numFmt w:val="bullet"/>
      <w:pStyle w:val="2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31343BB7"/>
    <w:multiLevelType w:val="singleLevel"/>
    <w:tmpl w:val="31343BB7"/>
    <w:lvl w:ilvl="0" w:tentative="0">
      <w:start w:val="1"/>
      <w:numFmt w:val="decimal"/>
      <w:pStyle w:val="24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3">
    <w:nsid w:val="372AA324"/>
    <w:multiLevelType w:val="multilevel"/>
    <w:tmpl w:val="372AA324"/>
    <w:lvl w:ilvl="0" w:tentative="0">
      <w:start w:val="1"/>
      <w:numFmt w:val="decimal"/>
      <w:pStyle w:val="2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38055D16"/>
    <w:multiLevelType w:val="multilevel"/>
    <w:tmpl w:val="38055D1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2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774E2A4C"/>
    <w:multiLevelType w:val="multilevel"/>
    <w:tmpl w:val="774E2A4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060B"/>
    <w:rsid w:val="00064696"/>
    <w:rsid w:val="00090806"/>
    <w:rsid w:val="00090F06"/>
    <w:rsid w:val="000B136A"/>
    <w:rsid w:val="000C5AC6"/>
    <w:rsid w:val="000D0B58"/>
    <w:rsid w:val="00107394"/>
    <w:rsid w:val="001126B1"/>
    <w:rsid w:val="00131323"/>
    <w:rsid w:val="00172A27"/>
    <w:rsid w:val="001850EF"/>
    <w:rsid w:val="001E2AF0"/>
    <w:rsid w:val="002046E1"/>
    <w:rsid w:val="002804DA"/>
    <w:rsid w:val="00284FAC"/>
    <w:rsid w:val="002B1235"/>
    <w:rsid w:val="002F111A"/>
    <w:rsid w:val="003040CB"/>
    <w:rsid w:val="00324423"/>
    <w:rsid w:val="00361091"/>
    <w:rsid w:val="00376428"/>
    <w:rsid w:val="003A5F3F"/>
    <w:rsid w:val="003A734B"/>
    <w:rsid w:val="003F2E37"/>
    <w:rsid w:val="003F566A"/>
    <w:rsid w:val="003F6737"/>
    <w:rsid w:val="0044683C"/>
    <w:rsid w:val="00446C15"/>
    <w:rsid w:val="00461075"/>
    <w:rsid w:val="00472DDC"/>
    <w:rsid w:val="00484948"/>
    <w:rsid w:val="004C0FB5"/>
    <w:rsid w:val="004E6C2C"/>
    <w:rsid w:val="00502BDC"/>
    <w:rsid w:val="005152B6"/>
    <w:rsid w:val="00534AAA"/>
    <w:rsid w:val="0058043F"/>
    <w:rsid w:val="005B065E"/>
    <w:rsid w:val="005F3659"/>
    <w:rsid w:val="00617398"/>
    <w:rsid w:val="00693244"/>
    <w:rsid w:val="006A0326"/>
    <w:rsid w:val="006B1693"/>
    <w:rsid w:val="006E33D4"/>
    <w:rsid w:val="006E5395"/>
    <w:rsid w:val="00724BF3"/>
    <w:rsid w:val="00724CB4"/>
    <w:rsid w:val="00730D39"/>
    <w:rsid w:val="00750154"/>
    <w:rsid w:val="007712A5"/>
    <w:rsid w:val="007D0FE8"/>
    <w:rsid w:val="008052E8"/>
    <w:rsid w:val="0088291C"/>
    <w:rsid w:val="00892B4D"/>
    <w:rsid w:val="008A4814"/>
    <w:rsid w:val="008A657C"/>
    <w:rsid w:val="008F1090"/>
    <w:rsid w:val="00905AB7"/>
    <w:rsid w:val="009307D3"/>
    <w:rsid w:val="00951001"/>
    <w:rsid w:val="0096044C"/>
    <w:rsid w:val="009E6890"/>
    <w:rsid w:val="00A11F6C"/>
    <w:rsid w:val="00A37264"/>
    <w:rsid w:val="00A37C0A"/>
    <w:rsid w:val="00A43275"/>
    <w:rsid w:val="00A43FD0"/>
    <w:rsid w:val="00A44B1B"/>
    <w:rsid w:val="00A60FB4"/>
    <w:rsid w:val="00A675C8"/>
    <w:rsid w:val="00A771B5"/>
    <w:rsid w:val="00A97E84"/>
    <w:rsid w:val="00AA67A4"/>
    <w:rsid w:val="00AE0DD1"/>
    <w:rsid w:val="00B13BC4"/>
    <w:rsid w:val="00B716E2"/>
    <w:rsid w:val="00B72D86"/>
    <w:rsid w:val="00B844A6"/>
    <w:rsid w:val="00B9151A"/>
    <w:rsid w:val="00BA61AE"/>
    <w:rsid w:val="00BA760E"/>
    <w:rsid w:val="00BD2C1D"/>
    <w:rsid w:val="00C06613"/>
    <w:rsid w:val="00C0766C"/>
    <w:rsid w:val="00C12B2D"/>
    <w:rsid w:val="00C24898"/>
    <w:rsid w:val="00C31AC2"/>
    <w:rsid w:val="00C76D2D"/>
    <w:rsid w:val="00CA6D19"/>
    <w:rsid w:val="00CF19D9"/>
    <w:rsid w:val="00CF71E4"/>
    <w:rsid w:val="00D92C30"/>
    <w:rsid w:val="00D967C2"/>
    <w:rsid w:val="00DB3CBC"/>
    <w:rsid w:val="00DE40C8"/>
    <w:rsid w:val="00E3426B"/>
    <w:rsid w:val="00E370D1"/>
    <w:rsid w:val="00E579FF"/>
    <w:rsid w:val="00E90250"/>
    <w:rsid w:val="00EA0D7F"/>
    <w:rsid w:val="00ED5E54"/>
    <w:rsid w:val="00FB798E"/>
    <w:rsid w:val="010815F7"/>
    <w:rsid w:val="0136391B"/>
    <w:rsid w:val="015C6038"/>
    <w:rsid w:val="01764F01"/>
    <w:rsid w:val="01B37B77"/>
    <w:rsid w:val="024D6B6A"/>
    <w:rsid w:val="025F6F73"/>
    <w:rsid w:val="029B04E7"/>
    <w:rsid w:val="02C33A5D"/>
    <w:rsid w:val="02D31073"/>
    <w:rsid w:val="02E52B54"/>
    <w:rsid w:val="03073BDC"/>
    <w:rsid w:val="03337158"/>
    <w:rsid w:val="033415AD"/>
    <w:rsid w:val="035119DB"/>
    <w:rsid w:val="03A571FD"/>
    <w:rsid w:val="03CB61F8"/>
    <w:rsid w:val="03D8045E"/>
    <w:rsid w:val="0426573F"/>
    <w:rsid w:val="05436F94"/>
    <w:rsid w:val="0555228E"/>
    <w:rsid w:val="05CB01BD"/>
    <w:rsid w:val="05E078B3"/>
    <w:rsid w:val="05EF7864"/>
    <w:rsid w:val="0626633F"/>
    <w:rsid w:val="07612CE5"/>
    <w:rsid w:val="07782CC3"/>
    <w:rsid w:val="077D0583"/>
    <w:rsid w:val="07CD7FFF"/>
    <w:rsid w:val="07F05245"/>
    <w:rsid w:val="08010EE0"/>
    <w:rsid w:val="082A352F"/>
    <w:rsid w:val="08891EDC"/>
    <w:rsid w:val="08D07516"/>
    <w:rsid w:val="08D82235"/>
    <w:rsid w:val="0920787B"/>
    <w:rsid w:val="09B70218"/>
    <w:rsid w:val="09F67CD5"/>
    <w:rsid w:val="0A074246"/>
    <w:rsid w:val="0A32643C"/>
    <w:rsid w:val="0AC310AE"/>
    <w:rsid w:val="0AF53788"/>
    <w:rsid w:val="0AFD671A"/>
    <w:rsid w:val="0B0565CA"/>
    <w:rsid w:val="0B2D6F98"/>
    <w:rsid w:val="0B5A12D7"/>
    <w:rsid w:val="0B9E71DF"/>
    <w:rsid w:val="0BCD7E3E"/>
    <w:rsid w:val="0C080A80"/>
    <w:rsid w:val="0C0A15BD"/>
    <w:rsid w:val="0C2327C2"/>
    <w:rsid w:val="0C8430EB"/>
    <w:rsid w:val="0D0B641D"/>
    <w:rsid w:val="0D3E3903"/>
    <w:rsid w:val="0D692AE3"/>
    <w:rsid w:val="0D831114"/>
    <w:rsid w:val="0E3D059D"/>
    <w:rsid w:val="0E665AE6"/>
    <w:rsid w:val="0F476C8A"/>
    <w:rsid w:val="0F5D04D8"/>
    <w:rsid w:val="0FE40E07"/>
    <w:rsid w:val="100A1D1A"/>
    <w:rsid w:val="10A50104"/>
    <w:rsid w:val="10C12078"/>
    <w:rsid w:val="10DE08C5"/>
    <w:rsid w:val="119D7849"/>
    <w:rsid w:val="12114809"/>
    <w:rsid w:val="124A4EC4"/>
    <w:rsid w:val="128C7A6E"/>
    <w:rsid w:val="129273D6"/>
    <w:rsid w:val="12A47B4E"/>
    <w:rsid w:val="12FA6450"/>
    <w:rsid w:val="1354541C"/>
    <w:rsid w:val="13CA595A"/>
    <w:rsid w:val="13CC3BA1"/>
    <w:rsid w:val="14B21339"/>
    <w:rsid w:val="14DA3DA1"/>
    <w:rsid w:val="14E20458"/>
    <w:rsid w:val="154D7E15"/>
    <w:rsid w:val="15550035"/>
    <w:rsid w:val="15C30A81"/>
    <w:rsid w:val="15C3343B"/>
    <w:rsid w:val="160C36EF"/>
    <w:rsid w:val="16127EB3"/>
    <w:rsid w:val="166A41A1"/>
    <w:rsid w:val="16894F77"/>
    <w:rsid w:val="16D04C14"/>
    <w:rsid w:val="16D12955"/>
    <w:rsid w:val="17155857"/>
    <w:rsid w:val="177D44CE"/>
    <w:rsid w:val="177F599E"/>
    <w:rsid w:val="1790184A"/>
    <w:rsid w:val="17BC31C0"/>
    <w:rsid w:val="180F06FB"/>
    <w:rsid w:val="184934F7"/>
    <w:rsid w:val="187E21BC"/>
    <w:rsid w:val="18C44032"/>
    <w:rsid w:val="18FB16B0"/>
    <w:rsid w:val="19010C43"/>
    <w:rsid w:val="19084C73"/>
    <w:rsid w:val="19363361"/>
    <w:rsid w:val="193C5FF4"/>
    <w:rsid w:val="19607427"/>
    <w:rsid w:val="19653003"/>
    <w:rsid w:val="1A044025"/>
    <w:rsid w:val="1A054259"/>
    <w:rsid w:val="1A114575"/>
    <w:rsid w:val="1AD41710"/>
    <w:rsid w:val="1B06103F"/>
    <w:rsid w:val="1B1B20F3"/>
    <w:rsid w:val="1B70220F"/>
    <w:rsid w:val="1B7F6005"/>
    <w:rsid w:val="1BAB2ECE"/>
    <w:rsid w:val="1C132CB9"/>
    <w:rsid w:val="1C7A0D82"/>
    <w:rsid w:val="1CCC26CA"/>
    <w:rsid w:val="1CE60535"/>
    <w:rsid w:val="1DE1589E"/>
    <w:rsid w:val="1E68580A"/>
    <w:rsid w:val="1E7749FE"/>
    <w:rsid w:val="1E804E6F"/>
    <w:rsid w:val="1E9D6342"/>
    <w:rsid w:val="1F04781B"/>
    <w:rsid w:val="1F56727C"/>
    <w:rsid w:val="1F922F6A"/>
    <w:rsid w:val="1F986125"/>
    <w:rsid w:val="1FF353D5"/>
    <w:rsid w:val="20067279"/>
    <w:rsid w:val="2011087F"/>
    <w:rsid w:val="20314BD3"/>
    <w:rsid w:val="204E6676"/>
    <w:rsid w:val="20703C98"/>
    <w:rsid w:val="208435C3"/>
    <w:rsid w:val="20D5379F"/>
    <w:rsid w:val="20E1109F"/>
    <w:rsid w:val="216A7EE4"/>
    <w:rsid w:val="2195668B"/>
    <w:rsid w:val="219A26CD"/>
    <w:rsid w:val="22623BD9"/>
    <w:rsid w:val="22AC32FF"/>
    <w:rsid w:val="233732F5"/>
    <w:rsid w:val="242E6DF2"/>
    <w:rsid w:val="245C52F8"/>
    <w:rsid w:val="2463385E"/>
    <w:rsid w:val="24E11799"/>
    <w:rsid w:val="25134332"/>
    <w:rsid w:val="256277D4"/>
    <w:rsid w:val="257E508F"/>
    <w:rsid w:val="258E69E5"/>
    <w:rsid w:val="26401730"/>
    <w:rsid w:val="265A7989"/>
    <w:rsid w:val="26872FC8"/>
    <w:rsid w:val="26C95C61"/>
    <w:rsid w:val="26F85F4E"/>
    <w:rsid w:val="27695916"/>
    <w:rsid w:val="277B6D77"/>
    <w:rsid w:val="27AB7429"/>
    <w:rsid w:val="27B27745"/>
    <w:rsid w:val="288C17EC"/>
    <w:rsid w:val="28BC2BF0"/>
    <w:rsid w:val="29014FF1"/>
    <w:rsid w:val="291D53D8"/>
    <w:rsid w:val="29386F00"/>
    <w:rsid w:val="29ED118B"/>
    <w:rsid w:val="29FA7F26"/>
    <w:rsid w:val="2A0840C1"/>
    <w:rsid w:val="2A2E5140"/>
    <w:rsid w:val="2A782D5E"/>
    <w:rsid w:val="2A9D178A"/>
    <w:rsid w:val="2AA363A7"/>
    <w:rsid w:val="2AE75BAD"/>
    <w:rsid w:val="2B8B30BF"/>
    <w:rsid w:val="2BAE1A53"/>
    <w:rsid w:val="2BD2348F"/>
    <w:rsid w:val="2BDE6F9E"/>
    <w:rsid w:val="2BED5BE5"/>
    <w:rsid w:val="2C4E6C6C"/>
    <w:rsid w:val="2C6B410C"/>
    <w:rsid w:val="2CAE2E43"/>
    <w:rsid w:val="2CC8136A"/>
    <w:rsid w:val="2CCF4BA0"/>
    <w:rsid w:val="2E1675EA"/>
    <w:rsid w:val="2EAF25DE"/>
    <w:rsid w:val="2F1251F2"/>
    <w:rsid w:val="2F2909FC"/>
    <w:rsid w:val="2F342AE4"/>
    <w:rsid w:val="2F8B60D5"/>
    <w:rsid w:val="2FC34B4E"/>
    <w:rsid w:val="2FE24C5E"/>
    <w:rsid w:val="2FED2F7D"/>
    <w:rsid w:val="2FF42087"/>
    <w:rsid w:val="30625BBC"/>
    <w:rsid w:val="308871CD"/>
    <w:rsid w:val="30962F3E"/>
    <w:rsid w:val="30970AC5"/>
    <w:rsid w:val="30C21DAF"/>
    <w:rsid w:val="30C63409"/>
    <w:rsid w:val="30CC33EE"/>
    <w:rsid w:val="30D17E68"/>
    <w:rsid w:val="30FF2795"/>
    <w:rsid w:val="316C44F9"/>
    <w:rsid w:val="31D2689F"/>
    <w:rsid w:val="31DA51BD"/>
    <w:rsid w:val="32061B07"/>
    <w:rsid w:val="32342292"/>
    <w:rsid w:val="32885BAE"/>
    <w:rsid w:val="329A6ACE"/>
    <w:rsid w:val="32EC346F"/>
    <w:rsid w:val="33041556"/>
    <w:rsid w:val="333A1523"/>
    <w:rsid w:val="33AA747D"/>
    <w:rsid w:val="33E71E06"/>
    <w:rsid w:val="345D6E8A"/>
    <w:rsid w:val="34786606"/>
    <w:rsid w:val="34C520CE"/>
    <w:rsid w:val="34D04BBA"/>
    <w:rsid w:val="34E52C26"/>
    <w:rsid w:val="35A9068B"/>
    <w:rsid w:val="360B1D73"/>
    <w:rsid w:val="36182203"/>
    <w:rsid w:val="361F3323"/>
    <w:rsid w:val="36E93760"/>
    <w:rsid w:val="370E36AE"/>
    <w:rsid w:val="371F1267"/>
    <w:rsid w:val="37444568"/>
    <w:rsid w:val="3784394E"/>
    <w:rsid w:val="37F74D19"/>
    <w:rsid w:val="3841578A"/>
    <w:rsid w:val="38A97269"/>
    <w:rsid w:val="38AE3BB0"/>
    <w:rsid w:val="38D44F5D"/>
    <w:rsid w:val="3933336C"/>
    <w:rsid w:val="39410D8B"/>
    <w:rsid w:val="397B569D"/>
    <w:rsid w:val="397D0647"/>
    <w:rsid w:val="39A72AEC"/>
    <w:rsid w:val="39CE69AE"/>
    <w:rsid w:val="39E9024E"/>
    <w:rsid w:val="39F7167A"/>
    <w:rsid w:val="3A3425C1"/>
    <w:rsid w:val="3A525382"/>
    <w:rsid w:val="3A657DA2"/>
    <w:rsid w:val="3A741748"/>
    <w:rsid w:val="3AC4552B"/>
    <w:rsid w:val="3ACA5EE5"/>
    <w:rsid w:val="3ACB5746"/>
    <w:rsid w:val="3B03669D"/>
    <w:rsid w:val="3B10060D"/>
    <w:rsid w:val="3B257BBC"/>
    <w:rsid w:val="3B2B7E19"/>
    <w:rsid w:val="3BB20883"/>
    <w:rsid w:val="3C4835E1"/>
    <w:rsid w:val="3CE94E5C"/>
    <w:rsid w:val="3CFA6018"/>
    <w:rsid w:val="3D0C05A1"/>
    <w:rsid w:val="3D3A7223"/>
    <w:rsid w:val="3D8D0A54"/>
    <w:rsid w:val="3DCE1312"/>
    <w:rsid w:val="3DE15E8A"/>
    <w:rsid w:val="3E1A1175"/>
    <w:rsid w:val="3E1C0F14"/>
    <w:rsid w:val="3E2B1EA2"/>
    <w:rsid w:val="3E441C7D"/>
    <w:rsid w:val="3EAA7601"/>
    <w:rsid w:val="3EB12AB3"/>
    <w:rsid w:val="3EC74B00"/>
    <w:rsid w:val="3F093324"/>
    <w:rsid w:val="3FC956FF"/>
    <w:rsid w:val="3FCA461C"/>
    <w:rsid w:val="3FFD1BD2"/>
    <w:rsid w:val="404402D4"/>
    <w:rsid w:val="40A36A71"/>
    <w:rsid w:val="410975DE"/>
    <w:rsid w:val="411735FE"/>
    <w:rsid w:val="411E3D0D"/>
    <w:rsid w:val="416C36BE"/>
    <w:rsid w:val="417453A6"/>
    <w:rsid w:val="418803D5"/>
    <w:rsid w:val="41D87188"/>
    <w:rsid w:val="41F466FD"/>
    <w:rsid w:val="422A1A00"/>
    <w:rsid w:val="42526F73"/>
    <w:rsid w:val="42850C0D"/>
    <w:rsid w:val="42A67A24"/>
    <w:rsid w:val="42ED55BB"/>
    <w:rsid w:val="43146828"/>
    <w:rsid w:val="43A8708C"/>
    <w:rsid w:val="440D5045"/>
    <w:rsid w:val="4428347A"/>
    <w:rsid w:val="446D1058"/>
    <w:rsid w:val="44794C68"/>
    <w:rsid w:val="44C00D19"/>
    <w:rsid w:val="44E955E2"/>
    <w:rsid w:val="451746FC"/>
    <w:rsid w:val="45477EC1"/>
    <w:rsid w:val="4550698C"/>
    <w:rsid w:val="457C35C1"/>
    <w:rsid w:val="459A37A5"/>
    <w:rsid w:val="45B76AAA"/>
    <w:rsid w:val="45BE6191"/>
    <w:rsid w:val="46090FAA"/>
    <w:rsid w:val="460C5979"/>
    <w:rsid w:val="46365D49"/>
    <w:rsid w:val="46917782"/>
    <w:rsid w:val="46BD1A24"/>
    <w:rsid w:val="46D31791"/>
    <w:rsid w:val="471A7159"/>
    <w:rsid w:val="47520D40"/>
    <w:rsid w:val="477700ED"/>
    <w:rsid w:val="47C01792"/>
    <w:rsid w:val="47E50E76"/>
    <w:rsid w:val="4808150F"/>
    <w:rsid w:val="4834304B"/>
    <w:rsid w:val="484059CE"/>
    <w:rsid w:val="48733BEB"/>
    <w:rsid w:val="487A09FA"/>
    <w:rsid w:val="48AD17DA"/>
    <w:rsid w:val="48BA1529"/>
    <w:rsid w:val="49D34C08"/>
    <w:rsid w:val="4A3224FB"/>
    <w:rsid w:val="4A5653D9"/>
    <w:rsid w:val="4AAD35CE"/>
    <w:rsid w:val="4AC31003"/>
    <w:rsid w:val="4ADD117A"/>
    <w:rsid w:val="4AE93159"/>
    <w:rsid w:val="4B6031AA"/>
    <w:rsid w:val="4B792DA0"/>
    <w:rsid w:val="4BD0339A"/>
    <w:rsid w:val="4BE219AB"/>
    <w:rsid w:val="4BEC586D"/>
    <w:rsid w:val="4C080729"/>
    <w:rsid w:val="4C5441D8"/>
    <w:rsid w:val="4C754C55"/>
    <w:rsid w:val="4CA22D8F"/>
    <w:rsid w:val="4CF35830"/>
    <w:rsid w:val="4D0E017F"/>
    <w:rsid w:val="4D462159"/>
    <w:rsid w:val="4D701C0A"/>
    <w:rsid w:val="4D766A6D"/>
    <w:rsid w:val="4DB20406"/>
    <w:rsid w:val="4DBC7264"/>
    <w:rsid w:val="4DC605B6"/>
    <w:rsid w:val="4DC81D5C"/>
    <w:rsid w:val="4DE96F16"/>
    <w:rsid w:val="4DEC0985"/>
    <w:rsid w:val="4E27683A"/>
    <w:rsid w:val="4E654861"/>
    <w:rsid w:val="4E787E01"/>
    <w:rsid w:val="4ED705ED"/>
    <w:rsid w:val="4F2765B1"/>
    <w:rsid w:val="4F285975"/>
    <w:rsid w:val="4F2A4DAA"/>
    <w:rsid w:val="4F502A55"/>
    <w:rsid w:val="4F784A85"/>
    <w:rsid w:val="4F930B48"/>
    <w:rsid w:val="4F987EA8"/>
    <w:rsid w:val="50093607"/>
    <w:rsid w:val="508B01F1"/>
    <w:rsid w:val="511B6D36"/>
    <w:rsid w:val="51867298"/>
    <w:rsid w:val="51AC662B"/>
    <w:rsid w:val="51D22DD2"/>
    <w:rsid w:val="52283CC2"/>
    <w:rsid w:val="52BA79AE"/>
    <w:rsid w:val="52BF413D"/>
    <w:rsid w:val="52D73E62"/>
    <w:rsid w:val="52E04D27"/>
    <w:rsid w:val="53397E13"/>
    <w:rsid w:val="53B30943"/>
    <w:rsid w:val="53DB3477"/>
    <w:rsid w:val="53F202C7"/>
    <w:rsid w:val="543E253E"/>
    <w:rsid w:val="547A60B6"/>
    <w:rsid w:val="55396B97"/>
    <w:rsid w:val="55540163"/>
    <w:rsid w:val="55DD6F2A"/>
    <w:rsid w:val="560C0FE1"/>
    <w:rsid w:val="56AB3932"/>
    <w:rsid w:val="56CC5358"/>
    <w:rsid w:val="56E5147C"/>
    <w:rsid w:val="5725306E"/>
    <w:rsid w:val="575042B0"/>
    <w:rsid w:val="575223F6"/>
    <w:rsid w:val="578F220A"/>
    <w:rsid w:val="57AE16CE"/>
    <w:rsid w:val="57FC07D9"/>
    <w:rsid w:val="58463F70"/>
    <w:rsid w:val="584F0A6E"/>
    <w:rsid w:val="58500F22"/>
    <w:rsid w:val="58C03E9F"/>
    <w:rsid w:val="5911631B"/>
    <w:rsid w:val="59707ED6"/>
    <w:rsid w:val="59740238"/>
    <w:rsid w:val="59784BA2"/>
    <w:rsid w:val="59974E1C"/>
    <w:rsid w:val="59AC2530"/>
    <w:rsid w:val="59B341A4"/>
    <w:rsid w:val="59D91835"/>
    <w:rsid w:val="5A672422"/>
    <w:rsid w:val="5AC02657"/>
    <w:rsid w:val="5ACB19B6"/>
    <w:rsid w:val="5ACF0F3A"/>
    <w:rsid w:val="5B115F33"/>
    <w:rsid w:val="5B2D58B9"/>
    <w:rsid w:val="5BAB38E6"/>
    <w:rsid w:val="5BCC36B1"/>
    <w:rsid w:val="5BEC1F3E"/>
    <w:rsid w:val="5C6B1600"/>
    <w:rsid w:val="5CBB7B73"/>
    <w:rsid w:val="5CBF74DB"/>
    <w:rsid w:val="5D0D4ED5"/>
    <w:rsid w:val="5D3E6C78"/>
    <w:rsid w:val="5D5313C9"/>
    <w:rsid w:val="5D572C1B"/>
    <w:rsid w:val="5D972B60"/>
    <w:rsid w:val="5D9D7CEE"/>
    <w:rsid w:val="5DE269F6"/>
    <w:rsid w:val="5DFD51DB"/>
    <w:rsid w:val="5E0D36E5"/>
    <w:rsid w:val="5E403B42"/>
    <w:rsid w:val="5E7008C7"/>
    <w:rsid w:val="5E8A0947"/>
    <w:rsid w:val="5E8E36A2"/>
    <w:rsid w:val="5E950C48"/>
    <w:rsid w:val="5EBE625C"/>
    <w:rsid w:val="5EC75D72"/>
    <w:rsid w:val="5ED4683B"/>
    <w:rsid w:val="5F1550C3"/>
    <w:rsid w:val="5F2A30E7"/>
    <w:rsid w:val="5FB96064"/>
    <w:rsid w:val="5FC82DDC"/>
    <w:rsid w:val="607C3753"/>
    <w:rsid w:val="60846D02"/>
    <w:rsid w:val="60C30855"/>
    <w:rsid w:val="6102508A"/>
    <w:rsid w:val="61264BF9"/>
    <w:rsid w:val="61421EFD"/>
    <w:rsid w:val="615C5041"/>
    <w:rsid w:val="61704586"/>
    <w:rsid w:val="61DD7C0C"/>
    <w:rsid w:val="61E9645D"/>
    <w:rsid w:val="62083713"/>
    <w:rsid w:val="62E16B5F"/>
    <w:rsid w:val="62E57334"/>
    <w:rsid w:val="634778A3"/>
    <w:rsid w:val="635B1143"/>
    <w:rsid w:val="63E605D3"/>
    <w:rsid w:val="649354A2"/>
    <w:rsid w:val="64BC72C8"/>
    <w:rsid w:val="64CD65F5"/>
    <w:rsid w:val="64FD20FB"/>
    <w:rsid w:val="664805B8"/>
    <w:rsid w:val="666C79D1"/>
    <w:rsid w:val="67336FA6"/>
    <w:rsid w:val="67B825B7"/>
    <w:rsid w:val="67EE6F4A"/>
    <w:rsid w:val="68121833"/>
    <w:rsid w:val="686D30B2"/>
    <w:rsid w:val="68F52B8B"/>
    <w:rsid w:val="69013CA8"/>
    <w:rsid w:val="690F418B"/>
    <w:rsid w:val="69446407"/>
    <w:rsid w:val="695D4A1A"/>
    <w:rsid w:val="69C877BD"/>
    <w:rsid w:val="69F02687"/>
    <w:rsid w:val="6A700F0C"/>
    <w:rsid w:val="6A7A2736"/>
    <w:rsid w:val="6A7B4B9C"/>
    <w:rsid w:val="6AD55730"/>
    <w:rsid w:val="6B814D22"/>
    <w:rsid w:val="6B884B09"/>
    <w:rsid w:val="6B9C2050"/>
    <w:rsid w:val="6BF77E77"/>
    <w:rsid w:val="6C270618"/>
    <w:rsid w:val="6C89456C"/>
    <w:rsid w:val="6C99373E"/>
    <w:rsid w:val="6D687088"/>
    <w:rsid w:val="6D6F59C7"/>
    <w:rsid w:val="6D8401EB"/>
    <w:rsid w:val="6D9C298F"/>
    <w:rsid w:val="6ECF34F4"/>
    <w:rsid w:val="6F1A42A0"/>
    <w:rsid w:val="6F380EF1"/>
    <w:rsid w:val="6FA629D4"/>
    <w:rsid w:val="6FCC4D16"/>
    <w:rsid w:val="70B47527"/>
    <w:rsid w:val="70BB2EF0"/>
    <w:rsid w:val="711E75BD"/>
    <w:rsid w:val="715A196E"/>
    <w:rsid w:val="716550A2"/>
    <w:rsid w:val="71FE12AC"/>
    <w:rsid w:val="72801DBE"/>
    <w:rsid w:val="72AB2FE8"/>
    <w:rsid w:val="73070334"/>
    <w:rsid w:val="73110A8A"/>
    <w:rsid w:val="73664568"/>
    <w:rsid w:val="73D425F7"/>
    <w:rsid w:val="74292B39"/>
    <w:rsid w:val="74C10E66"/>
    <w:rsid w:val="750A5172"/>
    <w:rsid w:val="750B3051"/>
    <w:rsid w:val="75614BD4"/>
    <w:rsid w:val="756310F8"/>
    <w:rsid w:val="76274B15"/>
    <w:rsid w:val="762C5A1F"/>
    <w:rsid w:val="765B63CE"/>
    <w:rsid w:val="76933951"/>
    <w:rsid w:val="7697404C"/>
    <w:rsid w:val="76D13A33"/>
    <w:rsid w:val="76F86DB9"/>
    <w:rsid w:val="76F86F1C"/>
    <w:rsid w:val="770C5B97"/>
    <w:rsid w:val="77342219"/>
    <w:rsid w:val="77405CDA"/>
    <w:rsid w:val="775D348F"/>
    <w:rsid w:val="775D60FB"/>
    <w:rsid w:val="776D3298"/>
    <w:rsid w:val="77F84DDA"/>
    <w:rsid w:val="78782A0D"/>
    <w:rsid w:val="78AC5790"/>
    <w:rsid w:val="78B626A1"/>
    <w:rsid w:val="78BA3098"/>
    <w:rsid w:val="79560311"/>
    <w:rsid w:val="796B4E06"/>
    <w:rsid w:val="79A2171F"/>
    <w:rsid w:val="79A252FF"/>
    <w:rsid w:val="79D33056"/>
    <w:rsid w:val="79E323AD"/>
    <w:rsid w:val="7A0515F0"/>
    <w:rsid w:val="7AA409AF"/>
    <w:rsid w:val="7AA634E6"/>
    <w:rsid w:val="7AF4293B"/>
    <w:rsid w:val="7B1A7E3F"/>
    <w:rsid w:val="7B21417A"/>
    <w:rsid w:val="7C0425AD"/>
    <w:rsid w:val="7C2431EB"/>
    <w:rsid w:val="7C26369C"/>
    <w:rsid w:val="7C9E5A24"/>
    <w:rsid w:val="7CC444C2"/>
    <w:rsid w:val="7CC97E23"/>
    <w:rsid w:val="7CEA02E8"/>
    <w:rsid w:val="7D1259D2"/>
    <w:rsid w:val="7D204086"/>
    <w:rsid w:val="7D3278DE"/>
    <w:rsid w:val="7D62117D"/>
    <w:rsid w:val="7D6A408D"/>
    <w:rsid w:val="7D9F6596"/>
    <w:rsid w:val="7DE93492"/>
    <w:rsid w:val="7E3E1EF2"/>
    <w:rsid w:val="7E4E6EC3"/>
    <w:rsid w:val="7EBC421D"/>
    <w:rsid w:val="7EF74FC9"/>
    <w:rsid w:val="7F5A38D2"/>
    <w:rsid w:val="7FB7122A"/>
    <w:rsid w:val="7FC7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name="toc 1"/>
    <w:lsdException w:qFormat="1"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1"/>
    <w:next w:val="1"/>
    <w:link w:val="36"/>
    <w:semiHidden/>
    <w:unhideWhenUsed/>
    <w:qFormat/>
    <w:uiPriority w:val="9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0"/>
    <w:pPr>
      <w:suppressAutoHyphens/>
      <w:overflowPunct w:val="0"/>
      <w:autoSpaceDE w:val="0"/>
      <w:spacing w:beforeLines="0" w:afterLines="0" w:line="240" w:lineRule="auto"/>
      <w:jc w:val="left"/>
      <w:textAlignment w:val="baseline"/>
    </w:pPr>
    <w:rPr>
      <w:rFonts w:eastAsia="Times New Roman"/>
      <w:b/>
      <w:kern w:val="0"/>
      <w:sz w:val="20"/>
      <w:lang w:val="en-GB" w:eastAsia="ar-SA"/>
    </w:rPr>
  </w:style>
  <w:style w:type="paragraph" w:styleId="7">
    <w:name w:val="Document Map"/>
    <w:basedOn w:val="1"/>
    <w:link w:val="34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8">
    <w:name w:val="annotation text"/>
    <w:basedOn w:val="1"/>
    <w:link w:val="31"/>
    <w:semiHidden/>
    <w:unhideWhenUsed/>
    <w:qFormat/>
    <w:uiPriority w:val="99"/>
    <w:pPr>
      <w:jc w:val="left"/>
    </w:p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Balloon Text"/>
    <w:basedOn w:val="1"/>
    <w:link w:val="22"/>
    <w:semiHidden/>
    <w:unhideWhenUsed/>
    <w:qFormat/>
    <w:uiPriority w:val="99"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11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0"/>
    <w:semiHidden/>
    <w:qFormat/>
    <w:uiPriority w:val="0"/>
    <w:pPr>
      <w:tabs>
        <w:tab w:val="center" w:pos="4320"/>
        <w:tab w:val="right" w:pos="8640"/>
      </w:tabs>
      <w:spacing w:line="240" w:lineRule="auto"/>
    </w:pPr>
  </w:style>
  <w:style w:type="paragraph" w:styleId="13">
    <w:name w:val="toc 1"/>
    <w:basedOn w:val="1"/>
    <w:next w:val="1"/>
    <w:semiHidden/>
    <w:unhideWhenUsed/>
    <w:qFormat/>
    <w:uiPriority w:val="99"/>
    <w:rPr>
      <w:rFonts w:eastAsiaTheme="minorEastAsia"/>
      <w:b/>
      <w:i/>
      <w:sz w:val="20"/>
    </w:rPr>
  </w:style>
  <w:style w:type="paragraph" w:styleId="14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5">
    <w:name w:val="toc 2"/>
    <w:basedOn w:val="1"/>
    <w:next w:val="1"/>
    <w:semiHidden/>
    <w:unhideWhenUsed/>
    <w:qFormat/>
    <w:uiPriority w:val="99"/>
    <w:pPr>
      <w:ind w:left="420" w:leftChars="200"/>
    </w:pPr>
    <w:rPr>
      <w:b/>
      <w:i/>
      <w:sz w:val="20"/>
    </w:rPr>
  </w:style>
  <w:style w:type="paragraph" w:styleId="16">
    <w:name w:val="annotation subject"/>
    <w:basedOn w:val="8"/>
    <w:next w:val="8"/>
    <w:link w:val="3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18">
    <w:name w:val="Table Grid"/>
    <w:basedOn w:val="17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批注框文本 Char"/>
    <w:basedOn w:val="19"/>
    <w:link w:val="10"/>
    <w:semiHidden/>
    <w:qFormat/>
    <w:uiPriority w:val="99"/>
    <w:rPr>
      <w:rFonts w:ascii="Microsoft YaHei UI" w:eastAsia="Microsoft YaHei UI"/>
      <w:kern w:val="2"/>
      <w:sz w:val="18"/>
      <w:szCs w:val="18"/>
    </w:rPr>
  </w:style>
  <w:style w:type="paragraph" w:customStyle="1" w:styleId="23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4">
    <w:name w:val="YJ-Observation"/>
    <w:basedOn w:val="23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25">
    <w:name w:val="sub-proposal"/>
    <w:basedOn w:val="23"/>
    <w:next w:val="1"/>
    <w:qFormat/>
    <w:uiPriority w:val="0"/>
    <w:pPr>
      <w:numPr>
        <w:numId w:val="4"/>
      </w:numPr>
      <w:tabs>
        <w:tab w:val="left" w:pos="807"/>
      </w:tabs>
    </w:pPr>
  </w:style>
  <w:style w:type="paragraph" w:customStyle="1" w:styleId="26">
    <w:name w:val="sub-observation"/>
    <w:basedOn w:val="25"/>
    <w:next w:val="1"/>
    <w:qFormat/>
    <w:uiPriority w:val="0"/>
  </w:style>
  <w:style w:type="paragraph" w:customStyle="1" w:styleId="27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28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29">
    <w:name w:val="样式1"/>
    <w:basedOn w:val="1"/>
    <w:qFormat/>
    <w:uiPriority w:val="0"/>
  </w:style>
  <w:style w:type="character" w:customStyle="1" w:styleId="30">
    <w:name w:val="页眉 Char"/>
    <w:basedOn w:val="19"/>
    <w:link w:val="12"/>
    <w:semiHidden/>
    <w:qFormat/>
    <w:uiPriority w:val="0"/>
    <w:rPr>
      <w:rFonts w:eastAsia="宋体"/>
      <w:kern w:val="2"/>
      <w:sz w:val="21"/>
    </w:rPr>
  </w:style>
  <w:style w:type="character" w:customStyle="1" w:styleId="31">
    <w:name w:val="批注文字 Char"/>
    <w:basedOn w:val="19"/>
    <w:link w:val="8"/>
    <w:semiHidden/>
    <w:qFormat/>
    <w:uiPriority w:val="99"/>
    <w:rPr>
      <w:rFonts w:eastAsia="宋体"/>
      <w:kern w:val="2"/>
      <w:sz w:val="21"/>
    </w:rPr>
  </w:style>
  <w:style w:type="character" w:customStyle="1" w:styleId="32">
    <w:name w:val="批注主题 Char"/>
    <w:basedOn w:val="31"/>
    <w:link w:val="16"/>
    <w:semiHidden/>
    <w:qFormat/>
    <w:uiPriority w:val="99"/>
    <w:rPr>
      <w:rFonts w:eastAsia="宋体"/>
      <w:b/>
      <w:bCs/>
      <w:kern w:val="2"/>
      <w:sz w:val="21"/>
    </w:rPr>
  </w:style>
  <w:style w:type="paragraph" w:customStyle="1" w:styleId="33">
    <w:name w:val="B1"/>
    <w:basedOn w:val="1"/>
    <w:qFormat/>
    <w:uiPriority w:val="0"/>
    <w:pPr>
      <w:ind w:left="568" w:hanging="284"/>
    </w:pPr>
    <w:rPr>
      <w:lang w:val="zh-CN"/>
    </w:rPr>
  </w:style>
  <w:style w:type="character" w:customStyle="1" w:styleId="34">
    <w:name w:val="文档结构图 Char"/>
    <w:basedOn w:val="19"/>
    <w:link w:val="7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35">
    <w:name w:val="页脚 Char"/>
    <w:basedOn w:val="19"/>
    <w:link w:val="11"/>
    <w:qFormat/>
    <w:uiPriority w:val="99"/>
    <w:rPr>
      <w:rFonts w:eastAsia="宋体"/>
      <w:kern w:val="2"/>
      <w:sz w:val="18"/>
      <w:szCs w:val="18"/>
    </w:rPr>
  </w:style>
  <w:style w:type="character" w:customStyle="1" w:styleId="36">
    <w:name w:val="标题 4 Char"/>
    <w:basedOn w:val="19"/>
    <w:link w:val="5"/>
    <w:semiHidden/>
    <w:qFormat/>
    <w:uiPriority w:val="9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37">
    <w:name w:val="B2"/>
    <w:basedOn w:val="1"/>
    <w:link w:val="39"/>
    <w:qFormat/>
    <w:uiPriority w:val="0"/>
    <w:pPr>
      <w:spacing w:line="240" w:lineRule="auto"/>
      <w:ind w:left="851" w:hanging="284"/>
    </w:pPr>
    <w:rPr>
      <w:lang w:val="zh-CN"/>
    </w:rPr>
  </w:style>
  <w:style w:type="paragraph" w:customStyle="1" w:styleId="38">
    <w:name w:val="B3"/>
    <w:basedOn w:val="1"/>
    <w:qFormat/>
    <w:uiPriority w:val="0"/>
    <w:pPr>
      <w:spacing w:line="240" w:lineRule="auto"/>
      <w:ind w:left="1135" w:hanging="284"/>
    </w:pPr>
    <w:rPr>
      <w:lang w:val="zh-CN"/>
    </w:rPr>
  </w:style>
  <w:style w:type="character" w:customStyle="1" w:styleId="39">
    <w:name w:val="B2 Char"/>
    <w:link w:val="37"/>
    <w:qFormat/>
    <w:uiPriority w:val="0"/>
    <w:rPr>
      <w:rFonts w:ascii="Times New Roman" w:hAnsi="Times New Roman" w:eastAsia="宋体" w:cs="Times New Roman"/>
      <w:kern w:val="2"/>
      <w:sz w:val="21"/>
      <w:lang w:val="zh-CN"/>
    </w:rPr>
  </w:style>
  <w:style w:type="character" w:customStyle="1" w:styleId="40">
    <w:name w:val="题注 Char"/>
    <w:link w:val="6"/>
    <w:qFormat/>
    <w:uiPriority w:val="0"/>
    <w:rPr>
      <w:rFonts w:ascii="Times New Roman" w:hAnsi="Times New Roman" w:eastAsia="Times New Roman" w:cs="Times New Roman"/>
      <w:b/>
      <w:lang w:val="en-GB" w:eastAsia="ar-SA"/>
    </w:rPr>
  </w:style>
  <w:style w:type="character" w:styleId="41">
    <w:name w:val="Placeholder Text"/>
    <w:basedOn w:val="19"/>
    <w:unhideWhenUsed/>
    <w:qFormat/>
    <w:uiPriority w:val="99"/>
    <w:rPr>
      <w:color w:val="808080"/>
    </w:rPr>
  </w:style>
  <w:style w:type="paragraph" w:customStyle="1" w:styleId="42">
    <w:name w:val="Style1"/>
    <w:basedOn w:val="1"/>
    <w:qFormat/>
    <w:uiPriority w:val="0"/>
    <w:pPr>
      <w:spacing w:after="100" w:afterAutospacing="1" w:line="300" w:lineRule="auto"/>
      <w:ind w:firstLine="360"/>
      <w:contextualSpacing/>
    </w:pPr>
  </w:style>
  <w:style w:type="paragraph" w:customStyle="1" w:styleId="43">
    <w:name w:val="TH"/>
    <w:basedOn w:val="1"/>
    <w:qFormat/>
    <w:uiPriority w:val="0"/>
    <w:pPr>
      <w:keepNext/>
      <w:keepLines/>
      <w:spacing w:before="60" w:line="240" w:lineRule="auto"/>
      <w:jc w:val="center"/>
    </w:pPr>
    <w:rPr>
      <w:rFonts w:ascii="Arial" w:hAnsi="Arial"/>
      <w:b/>
    </w:rPr>
  </w:style>
  <w:style w:type="paragraph" w:customStyle="1" w:styleId="44">
    <w:name w:val="TAH"/>
    <w:basedOn w:val="45"/>
    <w:qFormat/>
    <w:uiPriority w:val="0"/>
    <w:rPr>
      <w:b/>
    </w:rPr>
  </w:style>
  <w:style w:type="paragraph" w:customStyle="1" w:styleId="45">
    <w:name w:val="TAC"/>
    <w:basedOn w:val="46"/>
    <w:qFormat/>
    <w:uiPriority w:val="0"/>
    <w:pPr>
      <w:jc w:val="center"/>
    </w:pPr>
  </w:style>
  <w:style w:type="paragraph" w:customStyle="1" w:styleId="46">
    <w:name w:val="TAL"/>
    <w:basedOn w:val="1"/>
    <w:qFormat/>
    <w:uiPriority w:val="0"/>
    <w:pPr>
      <w:keepNext/>
      <w:keepLines/>
      <w:spacing w:line="240" w:lineRule="auto"/>
    </w:pPr>
    <w:rPr>
      <w:rFonts w:ascii="Arial" w:hAnsi="Arial"/>
      <w:sz w:val="18"/>
    </w:rPr>
  </w:style>
  <w:style w:type="paragraph" w:customStyle="1" w:styleId="47">
    <w:name w:val="TAN"/>
    <w:basedOn w:val="46"/>
    <w:qFormat/>
    <w:uiPriority w:val="0"/>
    <w:pPr>
      <w:ind w:left="851" w:hanging="851"/>
    </w:pPr>
  </w:style>
  <w:style w:type="paragraph" w:customStyle="1" w:styleId="48">
    <w:name w:val="FP"/>
    <w:basedOn w:val="1"/>
    <w:qFormat/>
    <w:uiPriority w:val="0"/>
    <w:pPr>
      <w:spacing w:line="240" w:lineRule="auto"/>
    </w:pPr>
  </w:style>
  <w:style w:type="character" w:customStyle="1" w:styleId="49">
    <w:name w:val="apple-converted-space"/>
    <w:qFormat/>
    <w:uiPriority w:val="0"/>
  </w:style>
  <w:style w:type="paragraph" w:customStyle="1" w:styleId="50">
    <w:name w:val="x_xxmsolistparagraph"/>
    <w:basedOn w:val="1"/>
    <w:qFormat/>
    <w:uiPriority w:val="99"/>
    <w:pPr>
      <w:ind w:left="800"/>
    </w:pPr>
    <w:rPr>
      <w:rFonts w:ascii="Calibri" w:hAnsi="Calibri" w:cs="Calibri"/>
      <w:szCs w:val="21"/>
    </w:rPr>
  </w:style>
  <w:style w:type="paragraph" w:customStyle="1" w:styleId="51">
    <w:name w:val="x_msonormal"/>
    <w:basedOn w:val="1"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E2ACFD-54E7-43C9-A9B3-DC03250C0B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Corporation, Sanechips</Company>
  <Pages>3</Pages>
  <Words>932</Words>
  <Characters>4575</Characters>
  <Lines>194</Lines>
  <Paragraphs>54</Paragraphs>
  <TotalTime>3</TotalTime>
  <ScaleCrop>false</ScaleCrop>
  <LinksUpToDate>false</LinksUpToDate>
  <CharactersWithSpaces>5381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2020-08-05T07:37:00Z</dcterms:created>
  <dc:creator>ZTE</dc:creator>
  <cp:lastModifiedBy>ZTE(Boyuan)</cp:lastModifiedBy>
  <dcterms:modified xsi:type="dcterms:W3CDTF">2021-01-18T06:06:03Z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